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62" w:rsidRPr="00397B62" w:rsidRDefault="00397B62" w:rsidP="00397B62">
      <w:pPr>
        <w:spacing w:before="120" w:after="120" w:line="312" w:lineRule="atLeast"/>
        <w:jc w:val="center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  <w:r w:rsidRPr="00397B62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 xml:space="preserve">АВТОРСКИЙ ТУР в </w:t>
      </w:r>
      <w:proofErr w:type="spellStart"/>
      <w:r w:rsidRPr="00397B62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Гуамское</w:t>
      </w:r>
      <w:proofErr w:type="spellEnd"/>
      <w:r w:rsidRPr="00397B62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 xml:space="preserve"> ущелье + Горячий Ключ "</w:t>
      </w:r>
      <w:bookmarkStart w:id="0" w:name="_GoBack"/>
      <w:r w:rsidRPr="00397B62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На краю неба</w:t>
      </w:r>
      <w:bookmarkEnd w:id="0"/>
      <w:r w:rsidRPr="00397B62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"</w:t>
      </w:r>
    </w:p>
    <w:p w:rsidR="00397B62" w:rsidRPr="00397B62" w:rsidRDefault="00397B62" w:rsidP="00397B62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397B62">
        <w:rPr>
          <w:rFonts w:ascii="Arial Black" w:hAnsi="Arial Black"/>
          <w:color w:val="44546A" w:themeColor="text2"/>
        </w:rPr>
        <w:t>Подробное описание тура</w:t>
      </w:r>
    </w:p>
    <w:p w:rsidR="00397B62" w:rsidRPr="00397B62" w:rsidRDefault="00397B62" w:rsidP="00397B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Выезд из Ростова-на-Дону</w:t>
      </w:r>
    </w:p>
    <w:p w:rsidR="00397B62" w:rsidRPr="00397B62" w:rsidRDefault="00397B62" w:rsidP="00397B62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20-00 Выезд из Ростова-на-Дону. Сбор группы в 19-30 - пр. Буденновский 45, возле памятника Олегу Попову (здание цирка). </w:t>
      </w:r>
    </w:p>
    <w:p w:rsidR="00397B62" w:rsidRPr="00397B62" w:rsidRDefault="00397B62" w:rsidP="00397B62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1 день - </w:t>
      </w:r>
      <w:proofErr w:type="spellStart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Гуамское</w:t>
      </w:r>
      <w:proofErr w:type="spellEnd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 ущелье, </w:t>
      </w:r>
      <w:proofErr w:type="spellStart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джиппинг</w:t>
      </w:r>
      <w:proofErr w:type="spellEnd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 по окрестностям</w:t>
      </w:r>
    </w:p>
    <w:p w:rsidR="00397B62" w:rsidRPr="00397B62" w:rsidRDefault="00397B62" w:rsidP="00397B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Выезд из Ростова-на-Дону. Прибытие в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Гуамку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 Заселение в отель.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Посещение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Гуамского</w:t>
      </w:r>
      <w:proofErr w:type="spellEnd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ущелья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- уникальный биосферный комплекс, представляющий собой гигантскую расщелину среди гор с множеством изломов.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Внизу, под скалами, змейкой изгибается одноколейная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железная дорога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обустроенная над горной рекой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Курджипс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 Экскурсионный поезд имеет всего четыре вагона, но даже при небольшой длине, локомотив успевает скрываться за каменными стенами. С каждым следующим поворотом открываются все новые пейзажи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невероятной красоты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 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В продолжении экскурсионного дня мы предлагаем нашим туристам отправиться на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джиппах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по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реликтовым лесам Северо-Западного Кавказа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где будет возможность узнать легенды древних черкесов, удивительные истории о происхождении этих мест и их целебной энергетической силе. Во время экскурсии вы увидите живописные площадки и ручьи, таинственные камни, целебные деревья, изгибы горных рек, гроты и ущелья.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отель. 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Ужин с шашлыком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в беседке отеля, музыкальное сопровождение. Купание в термальном бассейне до 23.00.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2 день - водопады реки Куба, Михайлов камень, Казачий Крест</w:t>
      </w:r>
    </w:p>
    <w:p w:rsidR="00397B62" w:rsidRPr="00397B62" w:rsidRDefault="00397B62" w:rsidP="00397B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Выезд на экскурсию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"Водопады реки Куба"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. Куба - небольшая горная река, стекающая по склону от перевала на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Мезмай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к станице Нижегородская.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На этом участке можно увидеть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семнадцать водопадов различной высоты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и два грота. Зрелищность водопадов во многом зависит от количества воды.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Река Куба, как все реки, берущие начало в карстовых отложениях, большую часть года представляет собой полноводный ручей с чистой прозрачной водой. Но во время дождей или таяния снега в горах превращается в бурный поток.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Достоинство таких водопадов в том, что их интересно посетить в любое время года.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По пути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эккскурсии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наши туристы посетят панорамную точку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"Михайлов камень"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. Он находится на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Гуамском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хребте и представляет собой большой скальный выступ, расположенный на высоте более тысячи метров над уровнем моря, несколько выше знаменитой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Орлиной Полки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 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lastRenderedPageBreak/>
        <w:t xml:space="preserve">Со смотровой площадки открывается головокружительная панорама на поселок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Мезмай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и соседнюю станицу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Темнолесскую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, на окружающие леса, ущелья, горные хребты и легендарное плато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Лаго-Наки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Далее будет остановка возле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Казачьего креста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, который установлен на такой большой высоте, что его видят жители сразу трех населенных пунктов: поселка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Мезмай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, станицы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Темнолесской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и хутора Русский.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Весит этот крест около тонны, для его установки на вершину отвесной скалы, нужен был вертолет и команда альпинистов. В местной газете было сообщение: </w:t>
      </w:r>
      <w:r w:rsidRPr="00397B62">
        <w:rPr>
          <w:rFonts w:ascii="Arial" w:eastAsia="Times New Roman" w:hAnsi="Arial" w:cs="Arial"/>
          <w:i/>
          <w:iCs/>
          <w:color w:val="44546A" w:themeColor="text2"/>
          <w:sz w:val="24"/>
          <w:szCs w:val="24"/>
          <w:bdr w:val="none" w:sz="0" w:space="0" w:color="auto" w:frame="1"/>
          <w:lang w:eastAsia="ru-RU"/>
        </w:rPr>
        <w:t> 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i/>
          <w:iCs/>
          <w:color w:val="44546A" w:themeColor="text2"/>
          <w:sz w:val="24"/>
          <w:szCs w:val="24"/>
          <w:bdr w:val="none" w:sz="0" w:space="0" w:color="auto" w:frame="1"/>
          <w:lang w:eastAsia="ru-RU"/>
        </w:rPr>
        <w:t>"При установке шестиметрового креста вертолетчики стали свидетелями настоящего чуда природы: температура воздуха повысилась на десять градусов, а бушующий до этого ветер утих".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отель.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Ужин в отеле.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 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Купание в термальном бассейне до 23.00.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3 день - Монастырь "Нерушимая стена", святой источник, </w:t>
      </w:r>
      <w:proofErr w:type="spellStart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Дантово</w:t>
      </w:r>
      <w:proofErr w:type="spellEnd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 ущелье, скала Зеркало и Петушок</w:t>
      </w:r>
    </w:p>
    <w:p w:rsidR="00397B62" w:rsidRPr="00397B62" w:rsidRDefault="00397B62" w:rsidP="00397B62">
      <w:pPr>
        <w:tabs>
          <w:tab w:val="left" w:pos="1455"/>
        </w:tabs>
        <w:spacing w:line="240" w:lineRule="auto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ab/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 Купание в термальном бассейне. В 12.00 Освобождение номеров.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Выезд на экскурсию в Горячий ключ. 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Посещение женского монастыря «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Нерушимая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стена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». Проект монастырского комплекса создал заслуженный архитектор России Юрий Субботин. Там есть храм Святого Пророка Илии со звонницей, смотровые башни, главный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трехпрестольный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храм Божией Матери «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Нерушимая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стена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» и детский приют с домовой Марфо-Мариинской церковью.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Трапеза в монастыре (пожертвования). 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 пути маршрута наши туристы увидят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Скалу Зеркало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– природный туристический объект, расположенный недалеко от центра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Горячего Ключа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. Эта гладкая отвесная скала, которая является самым высоким скальным образованием в окрестностях города. Своё необычное название скала получила от того, что в определённое время дня под лучами солнца, она на протяжении всего лишь нескольких минут сверкает кварцевой породой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песчанника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как зеркало. Горная порода очень мягкая, поэтому даже от легких прикосновений могут остаться отпечатки.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Во время экскурсии вы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увдидите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родник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Рыжик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водопад 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Пасть Дьявола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скалу</w:t>
      </w: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 Петушок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и другие достопримечательности курорта, посетим </w:t>
      </w:r>
      <w:proofErr w:type="spellStart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Дантово</w:t>
      </w:r>
      <w:proofErr w:type="spellEnd"/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ущелье -</w:t>
      </w: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удивительно живописное, интересное и загадочное творение природы.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Ужин в ресторане "Старый замок". Отъезд в Ростов-на-Дону.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Ростов-на-Дону в 23.00</w:t>
      </w:r>
    </w:p>
    <w:p w:rsidR="00397B62" w:rsidRPr="00397B62" w:rsidRDefault="00397B62" w:rsidP="00397B62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397B62">
        <w:rPr>
          <w:rFonts w:ascii="Arial Black" w:hAnsi="Arial Black"/>
          <w:color w:val="44546A" w:themeColor="text2"/>
        </w:rPr>
        <w:lastRenderedPageBreak/>
        <w:t>Стоимость тура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929"/>
        <w:gridCol w:w="2299"/>
        <w:gridCol w:w="2065"/>
      </w:tblGrid>
      <w:tr w:rsidR="00397B62" w:rsidRPr="00397B62" w:rsidTr="00397B62">
        <w:trPr>
          <w:trHeight w:val="54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Тип размещения</w:t>
            </w: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Тур выходного дня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Праздничные даты</w:t>
            </w: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Новогодние праздники</w:t>
            </w:r>
          </w:p>
        </w:tc>
      </w:tr>
      <w:tr w:rsidR="00397B62" w:rsidRPr="00397B62" w:rsidTr="00397B62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Взрослый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11 700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12 200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13 200</w:t>
            </w:r>
          </w:p>
        </w:tc>
      </w:tr>
      <w:tr w:rsidR="00397B62" w:rsidRPr="00397B62" w:rsidTr="00397B62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11 400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11 900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12 900</w:t>
            </w:r>
          </w:p>
        </w:tc>
      </w:tr>
      <w:tr w:rsidR="00397B62" w:rsidRPr="00397B62" w:rsidTr="00397B62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Взрослый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11 400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11 900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12 900</w:t>
            </w:r>
          </w:p>
        </w:tc>
      </w:tr>
      <w:tr w:rsidR="00397B62" w:rsidRPr="00397B62" w:rsidTr="00397B62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11 100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11 600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12 600</w:t>
            </w:r>
          </w:p>
        </w:tc>
      </w:tr>
      <w:tr w:rsidR="00397B62" w:rsidRPr="00397B62" w:rsidTr="00397B62">
        <w:trPr>
          <w:trHeight w:val="225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без места с питанием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6 500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7 000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8 000</w:t>
            </w:r>
          </w:p>
        </w:tc>
      </w:tr>
      <w:tr w:rsidR="00397B62" w:rsidRPr="00397B62" w:rsidTr="00397B62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Одноместное размещение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14 700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15 200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7B62" w:rsidRPr="00397B62" w:rsidRDefault="00397B6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97B62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16 200</w:t>
            </w:r>
          </w:p>
        </w:tc>
      </w:tr>
    </w:tbl>
    <w:p w:rsidR="00397B62" w:rsidRPr="00397B62" w:rsidRDefault="00397B62" w:rsidP="00397B62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 стоимость тура входит:</w:t>
      </w:r>
    </w:p>
    <w:p w:rsidR="00397B62" w:rsidRPr="00397B62" w:rsidRDefault="00397B62" w:rsidP="00397B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проезд на комфортабельном автобусе туристического класса</w:t>
      </w:r>
    </w:p>
    <w:p w:rsidR="00397B62" w:rsidRPr="00397B62" w:rsidRDefault="00397B62" w:rsidP="00397B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проживание </w:t>
      </w:r>
    </w:p>
    <w:p w:rsidR="00397B62" w:rsidRPr="00397B62" w:rsidRDefault="00397B62" w:rsidP="00397B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питание по программе тура</w:t>
      </w:r>
    </w:p>
    <w:p w:rsidR="00397B62" w:rsidRPr="00397B62" w:rsidRDefault="00397B62" w:rsidP="00397B6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услуги экскурсовода и сопровождающего</w:t>
      </w:r>
    </w:p>
    <w:p w:rsidR="00397B62" w:rsidRPr="00397B62" w:rsidRDefault="00397B62" w:rsidP="00397B62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</w:t>
      </w:r>
    </w:p>
    <w:p w:rsidR="00397B62" w:rsidRPr="00397B62" w:rsidRDefault="00397B62" w:rsidP="00397B62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Оплачивается дополнительно:</w:t>
      </w:r>
    </w:p>
    <w:p w:rsidR="00397B62" w:rsidRPr="00397B62" w:rsidRDefault="00397B62" w:rsidP="00397B62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Гуамское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ущелье - 600р./300р.</w:t>
      </w:r>
    </w:p>
    <w:p w:rsidR="00397B62" w:rsidRPr="00397B62" w:rsidRDefault="00397B62" w:rsidP="00397B62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Джиппинг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гуамскому</w:t>
      </w:r>
      <w:proofErr w:type="spellEnd"/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ущелью - 500р./250р.</w:t>
      </w:r>
    </w:p>
    <w:p w:rsidR="00397B62" w:rsidRPr="00397B62" w:rsidRDefault="00397B62" w:rsidP="00397B62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97B62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Трапеза в монастыре "Нерушимая стена" - 200р.</w:t>
      </w:r>
    </w:p>
    <w:p w:rsidR="00397B62" w:rsidRPr="00397B62" w:rsidRDefault="00397B62" w:rsidP="00397B62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C4AAA" w:rsidRDefault="001C4AAA"/>
    <w:sectPr w:rsidR="001C4AAA" w:rsidSect="00397B6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oxima Nova Th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85A"/>
    <w:multiLevelType w:val="multilevel"/>
    <w:tmpl w:val="0A2CB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B221C86"/>
    <w:multiLevelType w:val="multilevel"/>
    <w:tmpl w:val="F318A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2"/>
    <w:rsid w:val="00011147"/>
    <w:rsid w:val="0010626A"/>
    <w:rsid w:val="001532F1"/>
    <w:rsid w:val="001C4AAA"/>
    <w:rsid w:val="002467BB"/>
    <w:rsid w:val="002C0A33"/>
    <w:rsid w:val="00397B62"/>
    <w:rsid w:val="006131F6"/>
    <w:rsid w:val="00622D41"/>
    <w:rsid w:val="006E00CE"/>
    <w:rsid w:val="007B5E47"/>
    <w:rsid w:val="00AC6A42"/>
    <w:rsid w:val="00B009AC"/>
    <w:rsid w:val="00B44489"/>
    <w:rsid w:val="00E74F5D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73D1"/>
  <w15:chartTrackingRefBased/>
  <w15:docId w15:val="{878FF8FE-5C61-4D23-856A-4506A38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B62"/>
    <w:rPr>
      <w:b/>
      <w:bCs/>
    </w:rPr>
  </w:style>
  <w:style w:type="character" w:customStyle="1" w:styleId="infotip">
    <w:name w:val="infotip"/>
    <w:basedOn w:val="a0"/>
    <w:rsid w:val="0039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5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2909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17098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3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562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54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1</cp:revision>
  <dcterms:created xsi:type="dcterms:W3CDTF">2021-08-16T10:45:00Z</dcterms:created>
  <dcterms:modified xsi:type="dcterms:W3CDTF">2021-08-16T10:50:00Z</dcterms:modified>
</cp:coreProperties>
</file>